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charts/chartEx2.xml" ContentType="application/vnd.ms-office.chartex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A8D86" w14:textId="121FD082" w:rsidR="00F94A42" w:rsidRDefault="0086075A">
      <w:pPr>
        <w:rPr>
          <w:lang w:val="en-US"/>
        </w:rPr>
      </w:pPr>
      <w:r>
        <w:rPr>
          <w:noProof/>
        </w:rPr>
        <mc:AlternateContent>
          <mc:Choice Requires="cx1">
            <w:drawing>
              <wp:inline distT="0" distB="0" distL="0" distR="0" wp14:anchorId="698EBDE0" wp14:editId="5209B8E8">
                <wp:extent cx="6050280" cy="3566160"/>
                <wp:effectExtent l="0" t="0" r="7620" b="15240"/>
                <wp:docPr id="978616953" name="Диаграмма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ABA9BC3-3404-8A73-5A09-0B517ACD1232}"/>
                    </a:ext>
                    <a:ext uri="{147F2762-F138-4A5C-976F-8EAC2B608ADB}">
                      <a16:predDERef xmlns:a16="http://schemas.microsoft.com/office/drawing/2014/main" pred="{6F704A09-13B9-4F70-EBD2-C6DCF23CBCE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5"/>
                  </a:graphicData>
                </a:graphic>
              </wp:inline>
            </w:drawing>
          </mc:Choice>
          <mc:Fallback>
            <w:drawing>
              <wp:inline distT="0" distB="0" distL="0" distR="0" wp14:anchorId="698EBDE0" wp14:editId="5209B8E8">
                <wp:extent cx="6050280" cy="3566160"/>
                <wp:effectExtent l="0" t="0" r="7620" b="15240"/>
                <wp:docPr id="978616953" name="Диаграмма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BABA9BC3-3404-8A73-5A09-0B517ACD1232}"/>
                    </a:ext>
                    <a:ext uri="{147F2762-F138-4A5C-976F-8EAC2B608ADB}">
                      <a16:predDERef xmlns:a16="http://schemas.microsoft.com/office/drawing/2014/main" pred="{6F704A09-13B9-4F70-EBD2-C6DCF23CBCE1}"/>
                    </a:ext>
                  </a:extLst>
                </wp:docPr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616953" name="Диаграмма 1">
                          <a:extLst>
                            <a:ext uri="{FF2B5EF4-FFF2-40B4-BE49-F238E27FC236}">
                              <a16:creationId xmlns:a16="http://schemas.microsoft.com/office/drawing/2014/main" id="{BABA9BC3-3404-8A73-5A09-0B517ACD1232}"/>
                            </a:ext>
                            <a:ext uri="{147F2762-F138-4A5C-976F-8EAC2B608ADB}">
                              <a16:predDERef xmlns:a16="http://schemas.microsoft.com/office/drawing/2014/main" pred="{6F704A09-13B9-4F70-EBD2-C6DCF23CBCE1}"/>
                            </a:ext>
                          </a:extLst>
                        </pic:cNvPr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50280" cy="3566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6B6813A3" w14:textId="77777777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</w:p>
    <w:p w14:paraId="037B880E" w14:textId="32BA29E1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86075A">
        <w:rPr>
          <w:rFonts w:ascii="Calibri" w:hAnsi="Calibri" w:cs="Calibri"/>
          <w:sz w:val="28"/>
          <w:szCs w:val="28"/>
        </w:rPr>
        <w:t>3)</w:t>
      </w:r>
      <w:r>
        <w:rPr>
          <w:rFonts w:ascii="Calibri" w:hAnsi="Calibri" w:cs="Calibri"/>
          <w:sz w:val="28"/>
          <w:szCs w:val="28"/>
          <w:lang w:val="en-US"/>
        </w:rPr>
        <w:t xml:space="preserve"> </w:t>
      </w:r>
      <w:r w:rsidRPr="0086075A">
        <w:rPr>
          <w:rFonts w:ascii="Calibri" w:hAnsi="Calibri" w:cs="Calibri"/>
          <w:sz w:val="28"/>
          <w:szCs w:val="28"/>
        </w:rPr>
        <w:t>Рисунок 3. Сравнение ферментативной активности при влиянии исследуемых веществ на третьи сутки культивирования макрофагов костного мозга.</w:t>
      </w:r>
    </w:p>
    <w:p w14:paraId="5D22E44F" w14:textId="351F335D" w:rsid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86075A">
        <w:rPr>
          <w:rFonts w:ascii="Calibri" w:hAnsi="Calibri" w:cs="Calibri"/>
          <w:sz w:val="28"/>
          <w:szCs w:val="28"/>
          <w:lang w:val="en-US"/>
        </w:rPr>
        <w:t>Figure 3. Comparison of enzymatic activity after the influence of the tested substances on day three of cultivation of bone marrow macrophages.</w:t>
      </w:r>
    </w:p>
    <w:p w14:paraId="408CD73B" w14:textId="77777777" w:rsid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</w:p>
    <w:p w14:paraId="3B973639" w14:textId="377BF1F9" w:rsid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  <w:r>
        <w:rPr>
          <w:noProof/>
        </w:rPr>
        <w:lastRenderedPageBreak/>
        <mc:AlternateContent>
          <mc:Choice Requires="cx1">
            <w:drawing>
              <wp:inline distT="0" distB="0" distL="0" distR="0" wp14:anchorId="28FE9F05" wp14:editId="2002C8AE">
                <wp:extent cx="5940425" cy="3766185"/>
                <wp:effectExtent l="0" t="0" r="3175" b="5715"/>
                <wp:docPr id="1614312110" name="Диаграмма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22906C-F496-96FA-93A4-0663A2401A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7"/>
                  </a:graphicData>
                </a:graphic>
              </wp:inline>
            </w:drawing>
          </mc:Choice>
          <mc:Fallback>
            <w:drawing>
              <wp:inline distT="0" distB="0" distL="0" distR="0" wp14:anchorId="28FE9F05" wp14:editId="2002C8AE">
                <wp:extent cx="5940425" cy="3766185"/>
                <wp:effectExtent l="0" t="0" r="3175" b="5715"/>
                <wp:docPr id="1614312110" name="Диаграмма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22906C-F496-96FA-93A4-0663A2401A5F}"/>
                    </a:ext>
                  </a:extLst>
                </wp:docPr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4312110" name="Диаграмма 1">
                          <a:extLst>
                            <a:ext uri="{FF2B5EF4-FFF2-40B4-BE49-F238E27FC236}">
                              <a16:creationId xmlns:a16="http://schemas.microsoft.com/office/drawing/2014/main" id="{F522906C-F496-96FA-93A4-0663A2401A5F}"/>
                            </a:ext>
                          </a:extLst>
                        </pic:cNvPr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0425" cy="37661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3196139F" w14:textId="77777777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</w:rPr>
      </w:pPr>
      <w:r w:rsidRPr="0086075A">
        <w:rPr>
          <w:rFonts w:ascii="Calibri" w:hAnsi="Calibri" w:cs="Calibri"/>
          <w:sz w:val="28"/>
          <w:szCs w:val="28"/>
        </w:rPr>
        <w:t xml:space="preserve">Рисунок 4. Сравнения средних значений фагоцитарного числа при влиянии исследуемых веществ в разные сутки культивирования макрофагов костного мозга. </w:t>
      </w:r>
    </w:p>
    <w:p w14:paraId="657B7F52" w14:textId="77777777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</w:rPr>
      </w:pPr>
      <w:r w:rsidRPr="0086075A">
        <w:rPr>
          <w:rFonts w:ascii="Calibri" w:hAnsi="Calibri" w:cs="Calibri"/>
          <w:sz w:val="28"/>
          <w:szCs w:val="28"/>
        </w:rPr>
        <w:t>Примечание. * – различие с группой контроля достоверно (р &lt;0,05), # – различие с группой FeCl</w:t>
      </w:r>
      <w:r w:rsidRPr="0086075A">
        <w:rPr>
          <w:rFonts w:ascii="Calibri" w:hAnsi="Calibri" w:cs="Calibri"/>
          <w:sz w:val="28"/>
          <w:szCs w:val="28"/>
          <w:vertAlign w:val="subscript"/>
        </w:rPr>
        <w:t>3</w:t>
      </w:r>
      <w:r w:rsidRPr="0086075A">
        <w:rPr>
          <w:rFonts w:ascii="Calibri" w:hAnsi="Calibri" w:cs="Calibri"/>
          <w:sz w:val="28"/>
          <w:szCs w:val="28"/>
        </w:rPr>
        <w:t xml:space="preserve"> достоверно (</w:t>
      </w:r>
      <w:proofErr w:type="gramStart"/>
      <w:r w:rsidRPr="0086075A">
        <w:rPr>
          <w:rFonts w:ascii="Calibri" w:hAnsi="Calibri" w:cs="Calibri"/>
          <w:sz w:val="28"/>
          <w:szCs w:val="28"/>
        </w:rPr>
        <w:t>р&lt;</w:t>
      </w:r>
      <w:proofErr w:type="gramEnd"/>
      <w:r w:rsidRPr="0086075A">
        <w:rPr>
          <w:rFonts w:ascii="Calibri" w:hAnsi="Calibri" w:cs="Calibri"/>
          <w:sz w:val="28"/>
          <w:szCs w:val="28"/>
        </w:rPr>
        <w:t>0,05).</w:t>
      </w:r>
    </w:p>
    <w:p w14:paraId="4DD04E58" w14:textId="77777777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</w:rPr>
      </w:pPr>
    </w:p>
    <w:p w14:paraId="4B5A72D7" w14:textId="77777777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86075A">
        <w:rPr>
          <w:rFonts w:ascii="Calibri" w:hAnsi="Calibri" w:cs="Calibri"/>
          <w:sz w:val="28"/>
          <w:szCs w:val="28"/>
          <w:lang w:val="en-US"/>
        </w:rPr>
        <w:t xml:space="preserve">Figure 4. Comparison of the average phagocytic numbers under the influence of the </w:t>
      </w:r>
      <w:proofErr w:type="gramStart"/>
      <w:r w:rsidRPr="0086075A">
        <w:rPr>
          <w:rFonts w:ascii="Calibri" w:hAnsi="Calibri" w:cs="Calibri"/>
          <w:sz w:val="28"/>
          <w:szCs w:val="28"/>
          <w:lang w:val="en-US"/>
        </w:rPr>
        <w:t>studied substances</w:t>
      </w:r>
      <w:proofErr w:type="gramEnd"/>
      <w:r w:rsidRPr="0086075A">
        <w:rPr>
          <w:rFonts w:ascii="Calibri" w:hAnsi="Calibri" w:cs="Calibri"/>
          <w:sz w:val="28"/>
          <w:szCs w:val="28"/>
          <w:lang w:val="en-US"/>
        </w:rPr>
        <w:t xml:space="preserve"> at different days of macrophage cultivation in bone marrow.</w:t>
      </w:r>
    </w:p>
    <w:p w14:paraId="67F47905" w14:textId="77777777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  <w:r w:rsidRPr="0086075A">
        <w:rPr>
          <w:rFonts w:ascii="Calibri" w:hAnsi="Calibri" w:cs="Calibri"/>
          <w:sz w:val="28"/>
          <w:szCs w:val="28"/>
          <w:lang w:val="en-US"/>
        </w:rPr>
        <w:t>Note. * – the difference with the control group is significant (p &lt;0.05), # – the difference with the FeCl</w:t>
      </w:r>
      <w:r w:rsidRPr="0086075A">
        <w:rPr>
          <w:rFonts w:ascii="Calibri" w:hAnsi="Calibri" w:cs="Calibri"/>
          <w:sz w:val="28"/>
          <w:szCs w:val="28"/>
          <w:vertAlign w:val="subscript"/>
          <w:lang w:val="en-US"/>
        </w:rPr>
        <w:t>3</w:t>
      </w:r>
      <w:r w:rsidRPr="0086075A">
        <w:rPr>
          <w:rFonts w:ascii="Calibri" w:hAnsi="Calibri" w:cs="Calibri"/>
          <w:sz w:val="28"/>
          <w:szCs w:val="28"/>
          <w:lang w:val="en-US"/>
        </w:rPr>
        <w:t xml:space="preserve"> group is significant (p&lt;0.05).</w:t>
      </w:r>
    </w:p>
    <w:p w14:paraId="1F52410B" w14:textId="77777777" w:rsidR="0086075A" w:rsidRPr="0086075A" w:rsidRDefault="0086075A" w:rsidP="0086075A">
      <w:pPr>
        <w:jc w:val="both"/>
        <w:rPr>
          <w:rFonts w:ascii="Calibri" w:hAnsi="Calibri" w:cs="Calibri"/>
          <w:sz w:val="28"/>
          <w:szCs w:val="28"/>
          <w:lang w:val="en-US"/>
        </w:rPr>
      </w:pPr>
    </w:p>
    <w:sectPr w:rsidR="0086075A" w:rsidRPr="00860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A7741"/>
    <w:multiLevelType w:val="hybridMultilevel"/>
    <w:tmpl w:val="73E6B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782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75A"/>
    <w:rsid w:val="003D16B0"/>
    <w:rsid w:val="005A7CB3"/>
    <w:rsid w:val="00645AFD"/>
    <w:rsid w:val="0086075A"/>
    <w:rsid w:val="009013A0"/>
    <w:rsid w:val="00AD092C"/>
    <w:rsid w:val="00AF2A08"/>
    <w:rsid w:val="00E646F5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8675"/>
  <w15:chartTrackingRefBased/>
  <w15:docId w15:val="{B89A9642-9A47-4072-8ED7-FE422E18E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07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07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07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07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07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07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07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07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07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7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07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07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075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075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07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607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07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07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07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607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07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607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607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6075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6075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6075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607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6075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607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14/relationships/chartEx" Target="charts/chartEx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microsoft.com/office/2014/relationships/chartEx" Target="charts/chartEx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C:\Users\79623\Downloads\&#1056;&#1080;&#1089;&#1091;&#1085;&#1086;&#1082;%203.%20&#1062;&#1080;&#1090;&#1086;&#1093;&#1080;&#1084;&#1080;&#1095;&#1077;&#1089;&#1082;&#1080;&#1081;%20&#1080;&#1085;&#1076;&#1077;&#1082;&#1089;_eu.xlsx" TargetMode="External"/></Relationships>
</file>

<file path=word/charts/_rels/chartEx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C:\Users\79623\Downloads\&#1056;&#1080;&#1089;&#1091;&#1085;&#1086;&#1082;%204.%20&#1060;&#1072;&#1075;&#1086;&#1094;&#1080;&#1090;&#1072;&#1088;&#1085;&#1086;&#1077;%20&#1095;&#1080;&#1089;&#1083;&#1086;_eu.xlsx" TargetMode="External"/></Relationships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numDim type="val">
        <cx:f>'Цитохимический индекс'!$B$3:$B$8</cx:f>
        <cx:lvl ptCount="6" formatCode="0,00">
          <cx:pt idx="0">1.4666666666666666</cx:pt>
          <cx:pt idx="1">1.6000000000000001</cx:pt>
          <cx:pt idx="2">1.3999999999999999</cx:pt>
          <cx:pt idx="3">1.3</cx:pt>
          <cx:pt idx="4">1.7</cx:pt>
          <cx:pt idx="5">1.2</cx:pt>
        </cx:lvl>
      </cx:numDim>
    </cx:data>
    <cx:data id="1">
      <cx:numDim type="val">
        <cx:f>'Цитохимический индекс'!$C$3:$C$8</cx:f>
        <cx:lvl ptCount="6" formatCode="0,00">
          <cx:pt idx="0">1.1000000000000001</cx:pt>
          <cx:pt idx="1">1.1000000000000001</cx:pt>
          <cx:pt idx="2">1.2</cx:pt>
          <cx:pt idx="3">1.3999999999999999</cx:pt>
          <cx:pt idx="4">1.7</cx:pt>
          <cx:pt idx="5">1</cx:pt>
        </cx:lvl>
      </cx:numDim>
    </cx:data>
    <cx:data id="2">
      <cx:numDim type="val">
        <cx:f>'Цитохимический индекс'!$D$3:$D$8</cx:f>
        <cx:lvl ptCount="6" formatCode="0,00">
          <cx:pt idx="0">1.6666666666666667</cx:pt>
          <cx:pt idx="1">1.3</cx:pt>
          <cx:pt idx="2">1.3</cx:pt>
          <cx:pt idx="3">1.1000000000000001</cx:pt>
          <cx:pt idx="4">1.3</cx:pt>
        </cx:lvl>
      </cx:numDim>
    </cx:data>
    <cx:data id="3">
      <cx:numDim type="val">
        <cx:f>'Цитохимический индекс'!$E$3:$E$8</cx:f>
        <cx:lvl ptCount="6" formatCode="0,00">
          <cx:pt idx="0">1.8</cx:pt>
          <cx:pt idx="1">1.3999999999999999</cx:pt>
          <cx:pt idx="2">1.3</cx:pt>
          <cx:pt idx="3">1.6000000000000001</cx:pt>
          <cx:pt idx="4">1.3</cx:pt>
          <cx:pt idx="5">1.1000000000000001</cx:pt>
        </cx:lvl>
      </cx:numDim>
    </cx:data>
  </cx:chartData>
  <cx:chart>
    <cx:plotArea>
      <cx:plotAreaRegion>
        <cx:series layoutId="boxWhisker" uniqueId="{B6BDC1E1-72C9-4FAD-9809-CDCCC4EA17A9}">
          <cx:tx>
            <cx:txData>
              <cx:f>'Цитохимический индекс'!$B$2</cx:f>
              <cx:v>Контроль / Control</cx:v>
            </cx:txData>
          </cx:tx>
          <cx:spPr>
            <a:solidFill>
              <a:srgbClr val="FF9900"/>
            </a:solidFill>
            <a:ln w="12700">
              <a:solidFill>
                <a:srgbClr val="000000"/>
              </a:solidFill>
              <a:prstDash val="solid"/>
            </a:ln>
          </cx:spPr>
          <cx:dataId val="0"/>
          <cx:layoutPr>
            <cx:visibility meanLine="0" meanMarker="1" nonoutliers="0" outliers="1"/>
            <cx:statistics quartileMethod="exclusive"/>
          </cx:layoutPr>
        </cx:series>
        <cx:series layoutId="boxWhisker" uniqueId="{756E4778-F83D-49B6-87DA-7EBC0EDD947C}">
          <cx:tx>
            <cx:txData>
              <cx:f>'Цитохимический индекс'!$C$2</cx:f>
              <cx:v>FeCl3</cx:v>
            </cx:txData>
          </cx:tx>
          <cx:spPr>
            <a:solidFill>
              <a:srgbClr val="92D050"/>
            </a:solidFill>
            <a:ln w="12700">
              <a:solidFill>
                <a:srgbClr val="000000"/>
              </a:solidFill>
              <a:prstDash val="solid"/>
            </a:ln>
          </cx:spPr>
          <cx:dataId val="1"/>
          <cx:layoutPr>
            <cx:visibility meanLine="0" meanMarker="1" nonoutliers="0" outliers="1"/>
            <cx:statistics quartileMethod="exclusive"/>
          </cx:layoutPr>
        </cx:series>
        <cx:series layoutId="boxWhisker" uniqueId="{CFE01564-569D-4089-8ADD-5F97A7DF190C}">
          <cx:tx>
            <cx:txData>
              <cx:f>'Цитохимический индекс'!$D$2</cx:f>
              <cx:v>ПД / PD</cx:v>
            </cx:txData>
          </cx:tx>
          <cx:spPr>
            <a:solidFill>
              <a:srgbClr val="00B0F0"/>
            </a:solidFill>
            <a:ln w="12700">
              <a:solidFill>
                <a:srgbClr val="000000"/>
              </a:solidFill>
              <a:prstDash val="solid"/>
            </a:ln>
          </cx:spPr>
          <cx:dataId val="2"/>
          <cx:layoutPr>
            <cx:visibility meanLine="0" meanMarker="1" nonoutliers="0" outliers="1"/>
            <cx:statistics quartileMethod="exclusive"/>
          </cx:layoutPr>
        </cx:series>
        <cx:series layoutId="boxWhisker" uniqueId="{18017AAF-BCE0-4034-9C0D-7DA84AB17A18}">
          <cx:tx>
            <cx:txData>
              <cx:f>'Цитохимический индекс'!$E$2</cx:f>
              <cx:v>Mo72Fe30</cx:v>
            </cx:txData>
          </cx:tx>
          <cx:spPr>
            <a:solidFill>
              <a:srgbClr val="7030A0"/>
            </a:solidFill>
            <a:ln w="12700">
              <a:solidFill>
                <a:srgbClr val="000000"/>
              </a:solidFill>
              <a:prstDash val="solid"/>
            </a:ln>
          </cx:spPr>
          <cx:dataId val="3"/>
          <cx:layoutPr>
            <cx:visibility meanLine="0" meanMarker="1" nonoutliers="0" outliers="1"/>
            <cx:statistics quartileMethod="exclusive"/>
          </cx:layoutPr>
        </cx:series>
      </cx:plotAreaRegion>
      <cx:axis id="0" hidden="1">
        <cx:catScaling gapWidth="1"/>
        <cx:tickLabels/>
      </cx:axis>
      <cx:axis id="1">
        <cx:valScaling/>
        <cx:title>
          <cx:tx>
            <cx:txData>
              <cx:v>Цитохимический индекс, усл.ед. / Cytochemical index, arb. u.</cx:v>
            </cx:txData>
          </cx:tx>
          <cx:txPr>
            <a:bodyPr spcFirstLastPara="1" vertOverflow="ellipsis" horzOverflow="overflow" wrap="square" lIns="0" tIns="0" rIns="0" bIns="0" anchor="ctr" anchorCtr="1"/>
            <a:lstStyle/>
            <a:p>
              <a:pPr algn="ctr" rtl="0">
                <a:defRPr sz="1200">
                  <a:latin typeface="Arial" panose="020B0604020202020204" pitchFamily="34" charset="0"/>
                  <a:ea typeface="Arial" panose="020B0604020202020204" pitchFamily="34" charset="0"/>
                  <a:cs typeface="Arial" panose="020B0604020202020204" pitchFamily="34" charset="0"/>
                </a:defRPr>
              </a:pPr>
              <a:r>
                <a:rPr lang="ru-RU" sz="1200" b="0" i="0" u="none" strike="noStrike" baseline="0">
                  <a:solidFill>
                    <a:sysClr val="windowText" lastClr="000000">
                      <a:lumMod val="65000"/>
                      <a:lumOff val="35000"/>
                    </a:sysClr>
                  </a:solidFill>
                  <a:latin typeface="Arial" panose="020B0604020202020204" pitchFamily="34" charset="0"/>
                  <a:cs typeface="Arial" panose="020B0604020202020204" pitchFamily="34" charset="0"/>
                </a:rPr>
                <a:t>Цитохимический индекс, усл.ед. / Cytochemical index, arb. u.</a:t>
              </a:r>
            </a:p>
          </cx:txPr>
        </cx:title>
        <cx:majorGridlines/>
        <cx:tickLabels/>
        <cx:numFmt formatCode="0.0" sourceLinked="0"/>
        <cx:txPr>
          <a:bodyPr vertOverflow="overflow" horzOverflow="overflow" wrap="square" lIns="0" tIns="0" rIns="0" bIns="0"/>
          <a:lstStyle/>
          <a:p>
            <a:pPr algn="ctr" rtl="0">
              <a:defRPr sz="1000" b="0" i="0">
                <a:solidFill>
                  <a:srgbClr val="000000"/>
                </a:solidFill>
                <a:latin typeface="Arial" panose="020B0604020202020204" pitchFamily="34" charset="0"/>
                <a:ea typeface="Arial" panose="020B0604020202020204" pitchFamily="34" charset="0"/>
                <a:cs typeface="Arial" panose="020B0604020202020204" pitchFamily="34" charset="0"/>
              </a:defRPr>
            </a:pPr>
            <a:endParaRPr sz="1000">
              <a:latin typeface="Arial" panose="020B0604020202020204" pitchFamily="34" charset="0"/>
              <a:cs typeface="Arial" panose="020B0604020202020204" pitchFamily="34" charset="0"/>
            </a:endParaRPr>
          </a:p>
        </cx:txPr>
      </cx:axis>
    </cx:plotArea>
    <cx:legend pos="b" align="ctr" overlay="0">
      <cx:txPr>
        <a:bodyPr spcFirstLastPara="1" vertOverflow="ellipsis" horzOverflow="overflow" wrap="square" lIns="0" tIns="0" rIns="0" bIns="0" anchor="ctr" anchorCtr="1"/>
        <a:lstStyle/>
        <a:p>
          <a:pPr algn="ctr" rtl="0">
            <a:defRPr sz="1200">
              <a:latin typeface="Arial" panose="020B0604020202020204" pitchFamily="34" charset="0"/>
              <a:ea typeface="Arial" panose="020B0604020202020204" pitchFamily="34" charset="0"/>
              <a:cs typeface="Arial" panose="020B0604020202020204" pitchFamily="34" charset="0"/>
            </a:defRPr>
          </a:pPr>
          <a:endParaRPr lang="ru-RU" sz="1200" b="0" i="0" u="none" strike="noStrike" baseline="0">
            <a:solidFill>
              <a:sysClr val="windowText" lastClr="000000">
                <a:lumMod val="65000"/>
                <a:lumOff val="35000"/>
              </a:sysClr>
            </a:solidFill>
            <a:latin typeface="Arial" panose="020B0604020202020204" pitchFamily="34" charset="0"/>
            <a:cs typeface="Arial" panose="020B0604020202020204" pitchFamily="34" charset="0"/>
          </a:endParaRPr>
        </a:p>
      </cx:txPr>
    </cx:legend>
  </cx:chart>
</cx:chartSpace>
</file>

<file path=word/charts/chartEx2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Фагоцитоз!$A$4:$A$20</cx:f>
        <cx:lvl ptCount="17">
          <cx:pt idx="0">1 сутки</cx:pt>
          <cx:pt idx="1">1 сутки</cx:pt>
          <cx:pt idx="2">1 сутки</cx:pt>
          <cx:pt idx="3">1 сутки</cx:pt>
          <cx:pt idx="4">1 сутки</cx:pt>
          <cx:pt idx="5">1 сутки</cx:pt>
          <cx:pt idx="6">2 сутки</cx:pt>
          <cx:pt idx="7">2 сутки</cx:pt>
          <cx:pt idx="8">2 сутки</cx:pt>
          <cx:pt idx="9">2 сутки</cx:pt>
          <cx:pt idx="10">2 сутки</cx:pt>
          <cx:pt idx="11">3 сутки</cx:pt>
          <cx:pt idx="12">3 сутки</cx:pt>
          <cx:pt idx="13">3 сутки</cx:pt>
          <cx:pt idx="14">3 сутки</cx:pt>
          <cx:pt idx="15">3 сутки</cx:pt>
          <cx:pt idx="16"/>
        </cx:lvl>
      </cx:strDim>
      <cx:numDim type="val">
        <cx:f>Фагоцитоз!$B$4:$B$20</cx:f>
        <cx:lvl ptCount="17" formatCode="Основной">
          <cx:pt idx="0">3.6499999999999999</cx:pt>
          <cx:pt idx="1">5.6200000000000001</cx:pt>
          <cx:pt idx="2">4.96</cx:pt>
          <cx:pt idx="3">3.5699999999999998</cx:pt>
          <cx:pt idx="4">4.3399999999999999</cx:pt>
          <cx:pt idx="5">4.5499999999999998</cx:pt>
          <cx:pt idx="6">7.3200000000000003</cx:pt>
          <cx:pt idx="7">6.3600000000000003</cx:pt>
          <cx:pt idx="8">7.21</cx:pt>
          <cx:pt idx="9">6.25</cx:pt>
          <cx:pt idx="10">5.7300000000000004</cx:pt>
          <cx:pt idx="11">2.5499999999999998</cx:pt>
          <cx:pt idx="12">5.9500000000000002</cx:pt>
          <cx:pt idx="13">4.0999999999999996</cx:pt>
          <cx:pt idx="14">3.5</cx:pt>
          <cx:pt idx="15">2.4500000000000002</cx:pt>
        </cx:lvl>
      </cx:numDim>
    </cx:data>
    <cx:data id="1">
      <cx:strDim type="cat">
        <cx:f>Фагоцитоз!$A$4:$A$20</cx:f>
        <cx:lvl ptCount="17">
          <cx:pt idx="0">1 сутки</cx:pt>
          <cx:pt idx="1">1 сутки</cx:pt>
          <cx:pt idx="2">1 сутки</cx:pt>
          <cx:pt idx="3">1 сутки</cx:pt>
          <cx:pt idx="4">1 сутки</cx:pt>
          <cx:pt idx="5">1 сутки</cx:pt>
          <cx:pt idx="6">2 сутки</cx:pt>
          <cx:pt idx="7">2 сутки</cx:pt>
          <cx:pt idx="8">2 сутки</cx:pt>
          <cx:pt idx="9">2 сутки</cx:pt>
          <cx:pt idx="10">2 сутки</cx:pt>
          <cx:pt idx="11">3 сутки</cx:pt>
          <cx:pt idx="12">3 сутки</cx:pt>
          <cx:pt idx="13">3 сутки</cx:pt>
          <cx:pt idx="14">3 сутки</cx:pt>
          <cx:pt idx="15">3 сутки</cx:pt>
          <cx:pt idx="16"/>
        </cx:lvl>
      </cx:strDim>
      <cx:numDim type="val">
        <cx:f>Фагоцитоз!$C$4:$C$20</cx:f>
        <cx:lvl ptCount="17" formatCode="0,00">
          <cx:pt idx="0">1.8999999999999999</cx:pt>
          <cx:pt idx="1">2.8999999999999999</cx:pt>
          <cx:pt idx="2">3.2000000000000002</cx:pt>
          <cx:pt idx="3">1.8</cx:pt>
          <cx:pt idx="4">2.5</cx:pt>
          <cx:pt idx="5">2.1000000000000001</cx:pt>
          <cx:pt idx="6">7.5</cx:pt>
          <cx:pt idx="7">8.5099999999999998</cx:pt>
          <cx:pt idx="8">7.8399999999999999</cx:pt>
          <cx:pt idx="9">6.0899999999999999</cx:pt>
          <cx:pt idx="10">6.1799999999999997</cx:pt>
          <cx:pt idx="11">2.3500000000000001</cx:pt>
          <cx:pt idx="12">1.4299999999999999</cx:pt>
          <cx:pt idx="13">1.5</cx:pt>
          <cx:pt idx="14">1.2</cx:pt>
          <cx:pt idx="15">0.40000000000000002</cx:pt>
        </cx:lvl>
      </cx:numDim>
    </cx:data>
    <cx:data id="2">
      <cx:strDim type="cat">
        <cx:f>Фагоцитоз!$A$4:$A$20</cx:f>
        <cx:lvl ptCount="17">
          <cx:pt idx="0">1 сутки</cx:pt>
          <cx:pt idx="1">1 сутки</cx:pt>
          <cx:pt idx="2">1 сутки</cx:pt>
          <cx:pt idx="3">1 сутки</cx:pt>
          <cx:pt idx="4">1 сутки</cx:pt>
          <cx:pt idx="5">1 сутки</cx:pt>
          <cx:pt idx="6">2 сутки</cx:pt>
          <cx:pt idx="7">2 сутки</cx:pt>
          <cx:pt idx="8">2 сутки</cx:pt>
          <cx:pt idx="9">2 сутки</cx:pt>
          <cx:pt idx="10">2 сутки</cx:pt>
          <cx:pt idx="11">3 сутки</cx:pt>
          <cx:pt idx="12">3 сутки</cx:pt>
          <cx:pt idx="13">3 сутки</cx:pt>
          <cx:pt idx="14">3 сутки</cx:pt>
          <cx:pt idx="15">3 сутки</cx:pt>
          <cx:pt idx="16"/>
        </cx:lvl>
      </cx:strDim>
      <cx:numDim type="val">
        <cx:f>Фагоцитоз!$D$4:$D$20</cx:f>
        <cx:lvl ptCount="17" formatCode="0,00">
          <cx:pt idx="0">3.25</cx:pt>
          <cx:pt idx="1">4.1600000000000001</cx:pt>
          <cx:pt idx="2">3.1499999999999999</cx:pt>
          <cx:pt idx="3">2.4500000000000002</cx:pt>
          <cx:pt idx="4">3.9500000000000002</cx:pt>
          <cx:pt idx="5">2.1800000000000002</cx:pt>
          <cx:pt idx="6">2.04</cx:pt>
          <cx:pt idx="7">3.6600000000000001</cx:pt>
          <cx:pt idx="8">2.2400000000000002</cx:pt>
          <cx:pt idx="9">2.25</cx:pt>
          <cx:pt idx="10">3.75</cx:pt>
          <cx:pt idx="11">0.84999999999999998</cx:pt>
          <cx:pt idx="12">3.4500000000000002</cx:pt>
          <cx:pt idx="13">1</cx:pt>
          <cx:pt idx="14">2.7000000000000002</cx:pt>
          <cx:pt idx="15">1.1499999999999999</cx:pt>
        </cx:lvl>
      </cx:numDim>
    </cx:data>
    <cx:data id="3">
      <cx:strDim type="cat">
        <cx:f>Фагоцитоз!$A$4:$A$20</cx:f>
        <cx:lvl ptCount="17">
          <cx:pt idx="0">1 сутки</cx:pt>
          <cx:pt idx="1">1 сутки</cx:pt>
          <cx:pt idx="2">1 сутки</cx:pt>
          <cx:pt idx="3">1 сутки</cx:pt>
          <cx:pt idx="4">1 сутки</cx:pt>
          <cx:pt idx="5">1 сутки</cx:pt>
          <cx:pt idx="6">2 сутки</cx:pt>
          <cx:pt idx="7">2 сутки</cx:pt>
          <cx:pt idx="8">2 сутки</cx:pt>
          <cx:pt idx="9">2 сутки</cx:pt>
          <cx:pt idx="10">2 сутки</cx:pt>
          <cx:pt idx="11">3 сутки</cx:pt>
          <cx:pt idx="12">3 сутки</cx:pt>
          <cx:pt idx="13">3 сутки</cx:pt>
          <cx:pt idx="14">3 сутки</cx:pt>
          <cx:pt idx="15">3 сутки</cx:pt>
          <cx:pt idx="16"/>
        </cx:lvl>
      </cx:strDim>
      <cx:numDim type="val">
        <cx:f>Фагоцитоз!$E$4:$E$20</cx:f>
        <cx:lvl ptCount="17" formatCode="0,00">
          <cx:pt idx="0">4.1500000000000004</cx:pt>
          <cx:pt idx="1">2.6499999999999999</cx:pt>
          <cx:pt idx="2">4.3399999999999999</cx:pt>
          <cx:pt idx="3">4.5499999999999998</cx:pt>
          <cx:pt idx="4">3.8599999999999999</cx:pt>
          <cx:pt idx="5">2.46</cx:pt>
          <cx:pt idx="6">6.1200000000000001</cx:pt>
          <cx:pt idx="7">4.6299999999999999</cx:pt>
          <cx:pt idx="8">3.3199999999999998</cx:pt>
          <cx:pt idx="9">5.8600000000000003</cx:pt>
          <cx:pt idx="10">2.8599999999999999</cx:pt>
          <cx:pt idx="11">2.4500000000000002</cx:pt>
          <cx:pt idx="12">1.3500000000000001</cx:pt>
          <cx:pt idx="13">4.5999999999999996</cx:pt>
          <cx:pt idx="14">1.6000000000000001</cx:pt>
          <cx:pt idx="15">1.2</cx:pt>
        </cx:lvl>
      </cx:numDim>
    </cx:data>
  </cx:chartData>
  <cx:chart>
    <cx:plotArea>
      <cx:plotAreaRegion>
        <cx:plotSurface>
          <cx:spPr>
            <a:ln>
              <a:solidFill>
                <a:srgbClr val="00B050">
                  <a:alpha val="0"/>
                </a:srgbClr>
              </a:solidFill>
            </a:ln>
          </cx:spPr>
        </cx:plotSurface>
        <cx:series layoutId="boxWhisker" uniqueId="{7493F103-00AA-4F2C-A1C2-EBE2FBE66313}">
          <cx:tx>
            <cx:txData>
              <cx:f>Фагоцитоз!$B$3</cx:f>
              <cx:v>Контроль / Control</cx:v>
            </cx:txData>
          </cx:tx>
          <cx:spPr>
            <a:solidFill>
              <a:srgbClr val="FF6600"/>
            </a:solidFill>
            <a:ln w="12700">
              <a:solidFill>
                <a:srgbClr val="000000"/>
              </a:solidFill>
              <a:prstDash val="solid"/>
            </a:ln>
          </cx:spPr>
          <cx:dataId val="0"/>
          <cx:layoutPr>
            <cx:visibility meanLine="0" meanMarker="1" nonoutliers="0" outliers="1"/>
            <cx:statistics quartileMethod="exclusive"/>
          </cx:layoutPr>
        </cx:series>
        <cx:series layoutId="boxWhisker" uniqueId="{620B9FDA-965A-4418-9B28-9B19E0AA7D5C}">
          <cx:tx>
            <cx:txData>
              <cx:f>Фагоцитоз!$C$3</cx:f>
              <cx:v>FeCl3</cx:v>
            </cx:txData>
          </cx:tx>
          <cx:spPr>
            <a:solidFill>
              <a:srgbClr val="92D050"/>
            </a:solidFill>
            <a:ln w="12700">
              <a:solidFill>
                <a:srgbClr val="000000"/>
              </a:solidFill>
              <a:prstDash val="solid"/>
            </a:ln>
          </cx:spPr>
          <cx:dataId val="1"/>
          <cx:layoutPr>
            <cx:visibility meanLine="0" meanMarker="1" nonoutliers="0" outliers="1"/>
            <cx:statistics quartileMethod="exclusive"/>
          </cx:layoutPr>
        </cx:series>
        <cx:series layoutId="boxWhisker" uniqueId="{8BEF34EE-2680-4863-B469-24579C0CA869}">
          <cx:tx>
            <cx:txData>
              <cx:f>Фагоцитоз!$D$3</cx:f>
              <cx:v>ПД / PD</cx:v>
            </cx:txData>
          </cx:tx>
          <cx:spPr>
            <a:solidFill>
              <a:srgbClr val="00B0F0"/>
            </a:solidFill>
            <a:ln w="12700">
              <a:solidFill>
                <a:srgbClr val="000000"/>
              </a:solidFill>
              <a:prstDash val="solid"/>
            </a:ln>
          </cx:spPr>
          <cx:dataId val="2"/>
          <cx:layoutPr>
            <cx:visibility meanLine="0" meanMarker="1" nonoutliers="0" outliers="1"/>
            <cx:statistics quartileMethod="exclusive"/>
          </cx:layoutPr>
        </cx:series>
        <cx:series layoutId="boxWhisker" uniqueId="{3C642D76-EF84-45DF-8D3A-63B9DD44A32C}">
          <cx:tx>
            <cx:txData>
              <cx:f>Фагоцитоз!$E$3</cx:f>
              <cx:v>Mo72Fe30</cx:v>
            </cx:txData>
          </cx:tx>
          <cx:spPr>
            <a:solidFill>
              <a:srgbClr val="7030A0"/>
            </a:solidFill>
            <a:ln w="12700">
              <a:solidFill>
                <a:srgbClr val="000000"/>
              </a:solidFill>
              <a:prstDash val="solid"/>
            </a:ln>
          </cx:spPr>
          <cx:dataId val="3"/>
          <cx:layoutPr>
            <cx:visibility meanLine="0" meanMarker="1" nonoutliers="0" outliers="1"/>
            <cx:statistics quartileMethod="exclusive"/>
          </cx:layoutPr>
        </cx:series>
      </cx:plotAreaRegion>
      <cx:axis id="0">
        <cx:catScaling gapWidth="1"/>
        <cx:title>
          <cx:tx>
            <cx:txData>
              <cx:v>Сроки культивирования, сутки / cell culture period, days</cx:v>
            </cx:txData>
          </cx:tx>
          <cx:txPr>
            <a:bodyPr spcFirstLastPara="1" vertOverflow="ellipsis" horzOverflow="overflow" wrap="square" lIns="0" tIns="0" rIns="0" bIns="0" anchor="ctr" anchorCtr="1"/>
            <a:lstStyle/>
            <a:p>
              <a:pPr algn="ctr" rtl="0">
                <a:defRPr>
                  <a:latin typeface="Arial" panose="020B0604020202020204" pitchFamily="34" charset="0"/>
                  <a:ea typeface="Arial" panose="020B0604020202020204" pitchFamily="34" charset="0"/>
                  <a:cs typeface="Arial" panose="020B0604020202020204" pitchFamily="34" charset="0"/>
                </a:defRPr>
              </a:pPr>
              <a:r>
                <a:rPr lang="ru-RU" sz="1200" b="0" i="0" u="none" strike="noStrike" baseline="0">
                  <a:solidFill>
                    <a:sysClr val="windowText" lastClr="000000">
                      <a:lumMod val="65000"/>
                      <a:lumOff val="35000"/>
                    </a:sysClr>
                  </a:solidFill>
                  <a:latin typeface="Arial" panose="020B0604020202020204" pitchFamily="34" charset="0"/>
                  <a:cs typeface="Arial" panose="020B0604020202020204" pitchFamily="34" charset="0"/>
                </a:rPr>
                <a:t>Сроки культивирования, сутки / cell culture period, days</a:t>
              </a:r>
            </a:p>
          </cx:txPr>
        </cx:title>
        <cx:tickLabels/>
        <cx:txPr>
          <a:bodyPr vertOverflow="overflow" horzOverflow="overflow" wrap="square" lIns="0" tIns="0" rIns="0" bIns="0"/>
          <a:lstStyle/>
          <a:p>
            <a:pPr algn="ctr" rtl="0">
              <a:defRPr sz="1000" b="0" i="0">
                <a:solidFill>
                  <a:srgbClr val="595959"/>
                </a:solidFill>
                <a:latin typeface="Arial" panose="020B0604020202020204" pitchFamily="34" charset="0"/>
                <a:ea typeface="Arial" panose="020B0604020202020204" pitchFamily="34" charset="0"/>
                <a:cs typeface="Arial" panose="020B0604020202020204" pitchFamily="34" charset="0"/>
              </a:defRPr>
            </a:pPr>
            <a:endParaRPr lang="ru-RU" sz="1000">
              <a:latin typeface="Arial" panose="020B0604020202020204" pitchFamily="34" charset="0"/>
              <a:cs typeface="Arial" panose="020B0604020202020204" pitchFamily="34" charset="0"/>
            </a:endParaRPr>
          </a:p>
        </cx:txPr>
      </cx:axis>
      <cx:axis id="1">
        <cx:valScaling/>
        <cx:title>
          <cx:tx>
            <cx:txData>
              <cx:v>Значение фагоцитарного числа / Phagocytic number </cx:v>
            </cx:txData>
          </cx:tx>
          <cx:txPr>
            <a:bodyPr spcFirstLastPara="1" vertOverflow="ellipsis" horzOverflow="overflow" wrap="square" lIns="0" tIns="0" rIns="0" bIns="0" anchor="ctr" anchorCtr="1"/>
            <a:lstStyle/>
            <a:p>
              <a:pPr algn="ctr" rtl="0">
                <a:defRPr>
                  <a:latin typeface="Arial" panose="020B0604020202020204" pitchFamily="34" charset="0"/>
                  <a:ea typeface="Arial" panose="020B0604020202020204" pitchFamily="34" charset="0"/>
                  <a:cs typeface="Arial" panose="020B0604020202020204" pitchFamily="34" charset="0"/>
                </a:defRPr>
              </a:pPr>
              <a:r>
                <a:rPr lang="ru-RU" sz="1200" b="0" i="0" u="none" strike="noStrike" baseline="0">
                  <a:solidFill>
                    <a:sysClr val="windowText" lastClr="000000">
                      <a:lumMod val="65000"/>
                      <a:lumOff val="35000"/>
                    </a:sysClr>
                  </a:solidFill>
                  <a:latin typeface="Arial" panose="020B0604020202020204" pitchFamily="34" charset="0"/>
                  <a:cs typeface="Arial" panose="020B0604020202020204" pitchFamily="34" charset="0"/>
                </a:rPr>
                <a:t>Значение фагоцитарного числа / Phagocytic number </a:t>
              </a:r>
            </a:p>
          </cx:txPr>
        </cx:title>
        <cx:majorGridlines/>
        <cx:tickLabels/>
        <cx:txPr>
          <a:bodyPr vertOverflow="overflow" horzOverflow="overflow" wrap="square" lIns="0" tIns="0" rIns="0" bIns="0"/>
          <a:lstStyle/>
          <a:p>
            <a:pPr algn="ctr" rtl="0">
              <a:defRPr sz="1000" b="0" i="0">
                <a:solidFill>
                  <a:srgbClr val="595959"/>
                </a:solidFill>
                <a:latin typeface="Arial" panose="020B0604020202020204" pitchFamily="34" charset="0"/>
                <a:ea typeface="Arial" panose="020B0604020202020204" pitchFamily="34" charset="0"/>
                <a:cs typeface="Arial" panose="020B0604020202020204" pitchFamily="34" charset="0"/>
              </a:defRPr>
            </a:pPr>
            <a:endParaRPr lang="ru-RU" sz="1000">
              <a:latin typeface="Arial" panose="020B0604020202020204" pitchFamily="34" charset="0"/>
              <a:cs typeface="Arial" panose="020B0604020202020204" pitchFamily="34" charset="0"/>
            </a:endParaRPr>
          </a:p>
        </cx:txPr>
      </cx:axis>
    </cx:plotArea>
    <cx:legend pos="b" align="ctr" overlay="0">
      <cx:txPr>
        <a:bodyPr vertOverflow="overflow" horzOverflow="overflow" wrap="square" lIns="0" tIns="0" rIns="0" bIns="0"/>
        <a:lstStyle/>
        <a:p>
          <a:pPr algn="ctr" rtl="0">
            <a:defRPr sz="1200" b="0" i="0">
              <a:solidFill>
                <a:srgbClr val="595959"/>
              </a:solidFill>
              <a:latin typeface="Arial" panose="020B0604020202020204" pitchFamily="34" charset="0"/>
              <a:ea typeface="Arial" panose="020B0604020202020204" pitchFamily="34" charset="0"/>
              <a:cs typeface="Arial" panose="020B0604020202020204" pitchFamily="34" charset="0"/>
            </a:defRPr>
          </a:pPr>
          <a:endParaRPr lang="ru-RU" sz="1200">
            <a:latin typeface="Arial" panose="020B0604020202020204" pitchFamily="34" charset="0"/>
            <a:cs typeface="Arial" panose="020B0604020202020204" pitchFamily="34" charset="0"/>
          </a:endParaRPr>
        </a:p>
      </cx:txPr>
    </cx:legend>
  </cx:chart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40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>
        <a:solidFill>
          <a:schemeClr val="phClr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Титова</dc:creator>
  <cp:keywords/>
  <dc:description/>
  <cp:lastModifiedBy>Светлана Титова</cp:lastModifiedBy>
  <cp:revision>1</cp:revision>
  <dcterms:created xsi:type="dcterms:W3CDTF">2025-03-17T05:48:00Z</dcterms:created>
  <dcterms:modified xsi:type="dcterms:W3CDTF">2025-03-17T05:51:00Z</dcterms:modified>
</cp:coreProperties>
</file>